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5EB7" w14:textId="77777777" w:rsidR="00BD2F75" w:rsidRDefault="00BD2F75" w:rsidP="00BD2F75">
      <w:r>
        <w:rPr>
          <w:noProof/>
          <w:lang w:eastAsia="fr-FR"/>
        </w:rPr>
        <mc:AlternateContent>
          <mc:Choice Requires="wps">
            <w:drawing>
              <wp:anchor distT="45720" distB="45720" distL="114300" distR="114300" simplePos="0" relativeHeight="251659264" behindDoc="0" locked="0" layoutInCell="1" allowOverlap="1" wp14:anchorId="0102BE20" wp14:editId="4360A35B">
                <wp:simplePos x="0" y="0"/>
                <wp:positionH relativeFrom="column">
                  <wp:posOffset>2527300</wp:posOffset>
                </wp:positionH>
                <wp:positionV relativeFrom="paragraph">
                  <wp:posOffset>107950</wp:posOffset>
                </wp:positionV>
                <wp:extent cx="3854450" cy="958850"/>
                <wp:effectExtent l="19050" t="19050" r="12700" b="1270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958850"/>
                        </a:xfrm>
                        <a:prstGeom prst="rect">
                          <a:avLst/>
                        </a:prstGeom>
                        <a:solidFill>
                          <a:srgbClr val="FFFFFF"/>
                        </a:solidFill>
                        <a:ln w="34925">
                          <a:solidFill>
                            <a:schemeClr val="tx1">
                              <a:lumMod val="100000"/>
                              <a:lumOff val="0"/>
                            </a:schemeClr>
                          </a:solidFill>
                          <a:miter lim="800000"/>
                          <a:headEnd/>
                          <a:tailEnd/>
                        </a:ln>
                      </wps:spPr>
                      <wps:txbx>
                        <w:txbxContent>
                          <w:p w14:paraId="64B5FF86" w14:textId="77777777" w:rsidR="00BD2F75" w:rsidRPr="00214113" w:rsidRDefault="00BD2F75" w:rsidP="00BD2F75">
                            <w:pPr>
                              <w:spacing w:after="0"/>
                              <w:jc w:val="center"/>
                              <w:rPr>
                                <w:b/>
                                <w:color w:val="000000" w:themeColor="text1"/>
                                <w:sz w:val="4"/>
                                <w:szCs w:val="4"/>
                              </w:rPr>
                            </w:pPr>
                          </w:p>
                          <w:p w14:paraId="35189A23" w14:textId="77777777" w:rsidR="00BD2F75" w:rsidRPr="00214113" w:rsidRDefault="00BD2F75" w:rsidP="00BD2F75">
                            <w:pPr>
                              <w:spacing w:after="0"/>
                              <w:jc w:val="center"/>
                              <w:rPr>
                                <w:b/>
                                <w:color w:val="000000" w:themeColor="text1"/>
                                <w:sz w:val="32"/>
                                <w:szCs w:val="32"/>
                              </w:rPr>
                            </w:pPr>
                            <w:r w:rsidRPr="00214113">
                              <w:rPr>
                                <w:b/>
                                <w:color w:val="000000" w:themeColor="text1"/>
                                <w:sz w:val="32"/>
                                <w:szCs w:val="32"/>
                              </w:rPr>
                              <w:t xml:space="preserve">Règlement financier </w:t>
                            </w:r>
                          </w:p>
                          <w:p w14:paraId="3BB88F65" w14:textId="77777777" w:rsidR="001B3273" w:rsidRDefault="001B3273" w:rsidP="00BD2F75">
                            <w:pPr>
                              <w:spacing w:after="0"/>
                              <w:jc w:val="center"/>
                              <w:rPr>
                                <w:b/>
                                <w:color w:val="000000" w:themeColor="text1"/>
                                <w:sz w:val="32"/>
                                <w:szCs w:val="32"/>
                              </w:rPr>
                            </w:pPr>
                            <w:r>
                              <w:rPr>
                                <w:b/>
                                <w:color w:val="000000" w:themeColor="text1"/>
                                <w:sz w:val="32"/>
                                <w:szCs w:val="32"/>
                              </w:rPr>
                              <w:t>Restaurant scolaire,</w:t>
                            </w:r>
                            <w:r w:rsidR="00BD2F75" w:rsidRPr="00214113">
                              <w:rPr>
                                <w:b/>
                                <w:color w:val="000000" w:themeColor="text1"/>
                                <w:sz w:val="32"/>
                                <w:szCs w:val="32"/>
                              </w:rPr>
                              <w:t xml:space="preserve"> </w:t>
                            </w:r>
                            <w:r>
                              <w:rPr>
                                <w:b/>
                                <w:color w:val="000000" w:themeColor="text1"/>
                                <w:sz w:val="32"/>
                                <w:szCs w:val="32"/>
                              </w:rPr>
                              <w:t>G</w:t>
                            </w:r>
                            <w:r w:rsidR="00BD2F75" w:rsidRPr="00214113">
                              <w:rPr>
                                <w:b/>
                                <w:color w:val="000000" w:themeColor="text1"/>
                                <w:sz w:val="32"/>
                                <w:szCs w:val="32"/>
                              </w:rPr>
                              <w:t>arderie</w:t>
                            </w:r>
                            <w:r>
                              <w:rPr>
                                <w:b/>
                                <w:color w:val="000000" w:themeColor="text1"/>
                                <w:sz w:val="32"/>
                                <w:szCs w:val="32"/>
                              </w:rPr>
                              <w:t xml:space="preserve"> </w:t>
                            </w:r>
                          </w:p>
                          <w:p w14:paraId="0BDDFE1F" w14:textId="6D67A1D6" w:rsidR="00BD2F75" w:rsidRPr="00795DFF" w:rsidRDefault="001B3273" w:rsidP="00BD2F75">
                            <w:pPr>
                              <w:spacing w:after="0"/>
                              <w:jc w:val="center"/>
                              <w:rPr>
                                <w:b/>
                                <w:color w:val="538135" w:themeColor="accent6" w:themeShade="BF"/>
                                <w:sz w:val="32"/>
                                <w:szCs w:val="32"/>
                              </w:rPr>
                            </w:pPr>
                            <w:r>
                              <w:rPr>
                                <w:b/>
                                <w:color w:val="000000" w:themeColor="text1"/>
                                <w:sz w:val="32"/>
                                <w:szCs w:val="32"/>
                              </w:rPr>
                              <w:t>et Centre de Loisirs</w:t>
                            </w:r>
                          </w:p>
                          <w:p w14:paraId="5E6A90B9" w14:textId="77777777" w:rsidR="00BD2F75" w:rsidRDefault="00BD2F75" w:rsidP="00BD2F7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2BE20" id="_x0000_t202" coordsize="21600,21600" o:spt="202" path="m,l,21600r21600,l21600,xe">
                <v:stroke joinstyle="miter"/>
                <v:path gradientshapeok="t" o:connecttype="rect"/>
              </v:shapetype>
              <v:shape id="Text Box 19" o:spid="_x0000_s1026" type="#_x0000_t202" style="position:absolute;margin-left:199pt;margin-top:8.5pt;width:303.5pt;height: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" strokecolor="black [3213]" strokeweight="2.75pt">
                <v:textbox>
                  <w:txbxContent>
                    <w:p w14:paraId="64B5FF86" w14:textId="77777777" w:rsidR="00BD2F75" w:rsidRPr="00214113" w:rsidRDefault="00BD2F75" w:rsidP="00BD2F75">
                      <w:pPr>
                        <w:spacing w:after="0"/>
                        <w:jc w:val="center"/>
                        <w:rPr>
                          <w:b/>
                          <w:color w:val="000000" w:themeColor="text1"/>
                          <w:sz w:val="4"/>
                          <w:szCs w:val="4"/>
                        </w:rPr>
                      </w:pPr>
                    </w:p>
                    <w:p w14:paraId="35189A23" w14:textId="77777777" w:rsidR="00BD2F75" w:rsidRPr="00214113" w:rsidRDefault="00BD2F75" w:rsidP="00BD2F75">
                      <w:pPr>
                        <w:spacing w:after="0"/>
                        <w:jc w:val="center"/>
                        <w:rPr>
                          <w:b/>
                          <w:color w:val="000000" w:themeColor="text1"/>
                          <w:sz w:val="32"/>
                          <w:szCs w:val="32"/>
                        </w:rPr>
                      </w:pPr>
                      <w:r w:rsidRPr="00214113">
                        <w:rPr>
                          <w:b/>
                          <w:color w:val="000000" w:themeColor="text1"/>
                          <w:sz w:val="32"/>
                          <w:szCs w:val="32"/>
                        </w:rPr>
                        <w:t xml:space="preserve">Règlement financier </w:t>
                      </w:r>
                    </w:p>
                    <w:p w14:paraId="3BB88F65" w14:textId="77777777" w:rsidR="001B3273" w:rsidRDefault="001B3273" w:rsidP="00BD2F75">
                      <w:pPr>
                        <w:spacing w:after="0"/>
                        <w:jc w:val="center"/>
                        <w:rPr>
                          <w:b/>
                          <w:color w:val="000000" w:themeColor="text1"/>
                          <w:sz w:val="32"/>
                          <w:szCs w:val="32"/>
                        </w:rPr>
                      </w:pPr>
                      <w:r>
                        <w:rPr>
                          <w:b/>
                          <w:color w:val="000000" w:themeColor="text1"/>
                          <w:sz w:val="32"/>
                          <w:szCs w:val="32"/>
                        </w:rPr>
                        <w:t>Restaurant scolaire,</w:t>
                      </w:r>
                      <w:r w:rsidR="00BD2F75" w:rsidRPr="00214113">
                        <w:rPr>
                          <w:b/>
                          <w:color w:val="000000" w:themeColor="text1"/>
                          <w:sz w:val="32"/>
                          <w:szCs w:val="32"/>
                        </w:rPr>
                        <w:t xml:space="preserve"> </w:t>
                      </w:r>
                      <w:r>
                        <w:rPr>
                          <w:b/>
                          <w:color w:val="000000" w:themeColor="text1"/>
                          <w:sz w:val="32"/>
                          <w:szCs w:val="32"/>
                        </w:rPr>
                        <w:t>G</w:t>
                      </w:r>
                      <w:r w:rsidR="00BD2F75" w:rsidRPr="00214113">
                        <w:rPr>
                          <w:b/>
                          <w:color w:val="000000" w:themeColor="text1"/>
                          <w:sz w:val="32"/>
                          <w:szCs w:val="32"/>
                        </w:rPr>
                        <w:t>arderie</w:t>
                      </w:r>
                      <w:r>
                        <w:rPr>
                          <w:b/>
                          <w:color w:val="000000" w:themeColor="text1"/>
                          <w:sz w:val="32"/>
                          <w:szCs w:val="32"/>
                        </w:rPr>
                        <w:t xml:space="preserve"> </w:t>
                      </w:r>
                    </w:p>
                    <w:p w14:paraId="0BDDFE1F" w14:textId="6D67A1D6" w:rsidR="00BD2F75" w:rsidRPr="00795DFF" w:rsidRDefault="001B3273" w:rsidP="00BD2F75">
                      <w:pPr>
                        <w:spacing w:after="0"/>
                        <w:jc w:val="center"/>
                        <w:rPr>
                          <w:b/>
                          <w:color w:val="538135" w:themeColor="accent6" w:themeShade="BF"/>
                          <w:sz w:val="32"/>
                          <w:szCs w:val="32"/>
                        </w:rPr>
                      </w:pPr>
                      <w:r>
                        <w:rPr>
                          <w:b/>
                          <w:color w:val="000000" w:themeColor="text1"/>
                          <w:sz w:val="32"/>
                          <w:szCs w:val="32"/>
                        </w:rPr>
                        <w:t>et Centre de Loisirs</w:t>
                      </w:r>
                    </w:p>
                    <w:p w14:paraId="5E6A90B9" w14:textId="77777777" w:rsidR="00BD2F75" w:rsidRDefault="00BD2F75" w:rsidP="00BD2F75">
                      <w:pPr>
                        <w:spacing w:after="0"/>
                      </w:pPr>
                    </w:p>
                  </w:txbxContent>
                </v:textbox>
                <w10:wrap type="square"/>
              </v:shape>
            </w:pict>
          </mc:Fallback>
        </mc:AlternateContent>
      </w:r>
      <w:r>
        <w:rPr>
          <w:noProof/>
          <w:lang w:eastAsia="fr-FR"/>
        </w:rPr>
        <w:drawing>
          <wp:inline distT="0" distB="0" distL="0" distR="0" wp14:anchorId="1CEF6568" wp14:editId="2711FB75">
            <wp:extent cx="1771650" cy="1289271"/>
            <wp:effectExtent l="0" t="0" r="0" b="6350"/>
            <wp:docPr id="2" name="Image 18" descr="C:\Users\Nicolas\AppData\Local\Microsoft\Windows\INetCache\Content.Word\logo bellengreville-06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AppData\Local\Microsoft\Windows\INetCache\Content.Word\logo bellengreville-062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8457" cy="1308779"/>
                    </a:xfrm>
                    <a:prstGeom prst="rect">
                      <a:avLst/>
                    </a:prstGeom>
                    <a:noFill/>
                    <a:ln>
                      <a:noFill/>
                    </a:ln>
                  </pic:spPr>
                </pic:pic>
              </a:graphicData>
            </a:graphic>
          </wp:inline>
        </w:drawing>
      </w:r>
    </w:p>
    <w:p w14:paraId="434E6760" w14:textId="77777777" w:rsidR="00BD2F75" w:rsidRDefault="00BD2F75" w:rsidP="00BD2F75">
      <w:pPr>
        <w:tabs>
          <w:tab w:val="left" w:pos="4820"/>
        </w:tabs>
        <w:spacing w:after="0"/>
        <w:rPr>
          <w:rFonts w:ascii="Times New Roman" w:hAnsi="Times New Roman" w:cs="Times New Roman"/>
          <w:b/>
          <w:color w:val="1F3864" w:themeColor="accent1" w:themeShade="80"/>
          <w:sz w:val="24"/>
          <w:szCs w:val="24"/>
        </w:rPr>
      </w:pPr>
      <w:r w:rsidRPr="000E0DE4">
        <w:rPr>
          <w:b/>
          <w:color w:val="538135" w:themeColor="accent6" w:themeShade="BF"/>
          <w:sz w:val="24"/>
          <w:szCs w:val="24"/>
        </w:rPr>
        <w:t>MAIRIE DE BELLENGREVILLE</w:t>
      </w:r>
      <w:r w:rsidRPr="000E0DE4">
        <w:rPr>
          <w:b/>
          <w:color w:val="1F3864" w:themeColor="accent1" w:themeShade="80"/>
          <w:sz w:val="24"/>
          <w:szCs w:val="24"/>
        </w:rPr>
        <w:tab/>
      </w:r>
      <w:hyperlink r:id="rId5" w:history="1">
        <w:r w:rsidRPr="007E39AE">
          <w:rPr>
            <w:rStyle w:val="Lienhypertexte"/>
            <w:rFonts w:ascii="Times New Roman" w:hAnsi="Times New Roman" w:cs="Times New Roman"/>
            <w:b/>
            <w:sz w:val="24"/>
            <w:szCs w:val="24"/>
          </w:rPr>
          <w:t>https://parents.logiciel-enfance.fr/bellengreville</w:t>
        </w:r>
      </w:hyperlink>
    </w:p>
    <w:p w14:paraId="31E09FFF" w14:textId="77777777" w:rsidR="00BD2F75" w:rsidRPr="000E0DE4" w:rsidRDefault="00BD2F75" w:rsidP="00BD2F75">
      <w:pPr>
        <w:tabs>
          <w:tab w:val="left" w:pos="4820"/>
        </w:tabs>
        <w:spacing w:after="0"/>
        <w:rPr>
          <w:b/>
          <w:color w:val="1F3864" w:themeColor="accent1" w:themeShade="80"/>
          <w:sz w:val="24"/>
          <w:szCs w:val="24"/>
        </w:rPr>
      </w:pPr>
    </w:p>
    <w:p w14:paraId="1166D67A" w14:textId="77777777" w:rsidR="00BD2F75" w:rsidRPr="0099621A" w:rsidRDefault="00BD2F75" w:rsidP="00BD2F75">
      <w:pPr>
        <w:tabs>
          <w:tab w:val="left" w:pos="4820"/>
        </w:tabs>
        <w:spacing w:after="0"/>
        <w:rPr>
          <w:rFonts w:ascii="Times New Roman" w:hAnsi="Times New Roman" w:cs="Times New Roman"/>
          <w:b/>
          <w:color w:val="1F3864" w:themeColor="accent1" w:themeShade="80"/>
          <w:sz w:val="24"/>
          <w:szCs w:val="24"/>
          <w:u w:val="single"/>
        </w:rPr>
      </w:pPr>
      <w:r w:rsidRPr="000E0DE4">
        <w:rPr>
          <w:b/>
          <w:color w:val="538135" w:themeColor="accent6" w:themeShade="BF"/>
          <w:sz w:val="24"/>
          <w:szCs w:val="24"/>
        </w:rPr>
        <w:t>10 rue Léonard Gille</w:t>
      </w:r>
      <w:r>
        <w:rPr>
          <w:b/>
          <w:color w:val="538135" w:themeColor="accent6" w:themeShade="BF"/>
          <w:sz w:val="24"/>
          <w:szCs w:val="24"/>
        </w:rPr>
        <w:tab/>
      </w:r>
      <w:r w:rsidRPr="0099621A">
        <w:rPr>
          <w:rFonts w:ascii="Times New Roman" w:hAnsi="Times New Roman" w:cs="Times New Roman"/>
          <w:b/>
          <w:color w:val="538135" w:themeColor="accent6" w:themeShade="BF"/>
          <w:sz w:val="24"/>
          <w:szCs w:val="24"/>
          <w:u w:val="single"/>
        </w:rPr>
        <w:t>lydie.garnier@mairie-bellengreville.fr</w:t>
      </w:r>
    </w:p>
    <w:p w14:paraId="313EBBD2" w14:textId="77777777" w:rsidR="00BD2F75" w:rsidRPr="0099621A" w:rsidRDefault="00BD2F75" w:rsidP="00BD2F75">
      <w:pPr>
        <w:tabs>
          <w:tab w:val="left" w:pos="4820"/>
        </w:tabs>
        <w:spacing w:after="0"/>
        <w:rPr>
          <w:rFonts w:ascii="Times New Roman" w:hAnsi="Times New Roman" w:cs="Times New Roman"/>
          <w:b/>
          <w:color w:val="538135" w:themeColor="accent6" w:themeShade="BF"/>
          <w:sz w:val="24"/>
          <w:szCs w:val="24"/>
        </w:rPr>
      </w:pPr>
      <w:r w:rsidRPr="000E0DE4">
        <w:rPr>
          <w:b/>
          <w:color w:val="538135" w:themeColor="accent6" w:themeShade="BF"/>
          <w:sz w:val="24"/>
          <w:szCs w:val="24"/>
        </w:rPr>
        <w:t>14370 BELLENGREVILLE</w:t>
      </w:r>
      <w:r>
        <w:rPr>
          <w:b/>
          <w:color w:val="538135" w:themeColor="accent6" w:themeShade="BF"/>
          <w:sz w:val="24"/>
          <w:szCs w:val="24"/>
        </w:rPr>
        <w:tab/>
      </w:r>
      <w:proofErr w:type="gramStart"/>
      <w:r w:rsidRPr="0099621A">
        <w:rPr>
          <w:rFonts w:ascii="Times New Roman" w:hAnsi="Times New Roman" w:cs="Times New Roman"/>
          <w:b/>
          <w:color w:val="538135" w:themeColor="accent6" w:themeShade="BF"/>
          <w:sz w:val="24"/>
          <w:szCs w:val="24"/>
        </w:rPr>
        <w:t>Tél:</w:t>
      </w:r>
      <w:proofErr w:type="gramEnd"/>
      <w:r w:rsidRPr="0099621A">
        <w:rPr>
          <w:rFonts w:ascii="Times New Roman" w:hAnsi="Times New Roman" w:cs="Times New Roman"/>
          <w:b/>
          <w:color w:val="538135" w:themeColor="accent6" w:themeShade="BF"/>
          <w:sz w:val="24"/>
          <w:szCs w:val="24"/>
        </w:rPr>
        <w:t xml:space="preserve"> 07 60 19 85 21</w:t>
      </w:r>
    </w:p>
    <w:p w14:paraId="4EB8354A" w14:textId="77777777" w:rsidR="00BD2F75" w:rsidRPr="000E0DE4" w:rsidRDefault="00BD2F75" w:rsidP="00BD2F75">
      <w:pPr>
        <w:tabs>
          <w:tab w:val="left" w:pos="5670"/>
        </w:tabs>
        <w:spacing w:after="0"/>
        <w:rPr>
          <w:b/>
          <w:color w:val="538135" w:themeColor="accent6" w:themeShade="BF"/>
          <w:sz w:val="24"/>
          <w:szCs w:val="24"/>
        </w:rPr>
      </w:pPr>
    </w:p>
    <w:p w14:paraId="0BE13519" w14:textId="77777777" w:rsidR="00BD2F75" w:rsidRPr="00AF4D77" w:rsidRDefault="00BD2F75" w:rsidP="00BD2F75">
      <w:pPr>
        <w:jc w:val="both"/>
        <w:rPr>
          <w:rFonts w:ascii="Times New Roman" w:hAnsi="Times New Roman" w:cs="Times New Roman"/>
          <w:b/>
          <w:sz w:val="24"/>
          <w:szCs w:val="24"/>
        </w:rPr>
      </w:pPr>
      <w:r w:rsidRPr="00AF4D77">
        <w:rPr>
          <w:rFonts w:ascii="Times New Roman" w:hAnsi="Times New Roman" w:cs="Times New Roman"/>
          <w:sz w:val="24"/>
          <w:szCs w:val="24"/>
        </w:rPr>
        <w:t xml:space="preserve">Article </w:t>
      </w:r>
      <w:proofErr w:type="gramStart"/>
      <w:r w:rsidRPr="00AF4D77">
        <w:rPr>
          <w:rFonts w:ascii="Times New Roman" w:hAnsi="Times New Roman" w:cs="Times New Roman"/>
          <w:sz w:val="24"/>
          <w:szCs w:val="24"/>
        </w:rPr>
        <w:t>1:</w:t>
      </w:r>
      <w:proofErr w:type="gramEnd"/>
      <w:r w:rsidRPr="00AF4D77">
        <w:rPr>
          <w:rFonts w:ascii="Times New Roman" w:hAnsi="Times New Roman" w:cs="Times New Roman"/>
          <w:sz w:val="24"/>
          <w:szCs w:val="24"/>
        </w:rPr>
        <w:t xml:space="preserve"> Les bénéficiaires des services de la restauration scolaire et de la garderie peuvent régler leurs factures </w:t>
      </w:r>
      <w:r w:rsidRPr="00AF4D77">
        <w:rPr>
          <w:rFonts w:ascii="Times New Roman" w:hAnsi="Times New Roman" w:cs="Times New Roman"/>
          <w:b/>
          <w:sz w:val="24"/>
          <w:szCs w:val="24"/>
        </w:rPr>
        <w:t>par prélèvement automatique</w:t>
      </w:r>
      <w:r w:rsidRPr="00AF4D77">
        <w:rPr>
          <w:rFonts w:ascii="Times New Roman" w:hAnsi="Times New Roman" w:cs="Times New Roman"/>
          <w:sz w:val="24"/>
          <w:szCs w:val="24"/>
        </w:rPr>
        <w:t xml:space="preserve"> pour ceux ayant souscrit un contrat de mensualisation</w:t>
      </w:r>
      <w:r w:rsidRPr="00AF4D77">
        <w:rPr>
          <w:rFonts w:ascii="Times New Roman" w:hAnsi="Times New Roman" w:cs="Times New Roman"/>
          <w:b/>
          <w:sz w:val="24"/>
          <w:szCs w:val="24"/>
        </w:rPr>
        <w:t xml:space="preserve">  ou par carte bleue sur internet (</w:t>
      </w:r>
      <w:hyperlink r:id="rId6" w:history="1">
        <w:r w:rsidRPr="00AF4D77">
          <w:rPr>
            <w:rStyle w:val="Lienhypertexte"/>
            <w:rFonts w:ascii="Times New Roman" w:hAnsi="Times New Roman" w:cs="Times New Roman"/>
            <w:b/>
            <w:sz w:val="24"/>
            <w:szCs w:val="24"/>
          </w:rPr>
          <w:t>www.tipi.budget.gouv.fr</w:t>
        </w:r>
      </w:hyperlink>
      <w:r w:rsidRPr="00AF4D77">
        <w:rPr>
          <w:rFonts w:ascii="Times New Roman" w:hAnsi="Times New Roman" w:cs="Times New Roman"/>
          <w:b/>
          <w:sz w:val="24"/>
          <w:szCs w:val="24"/>
        </w:rPr>
        <w:t>). Il est aussi possible de régler en espèces,</w:t>
      </w:r>
      <w:r w:rsidRPr="00AF4D77">
        <w:rPr>
          <w:rFonts w:ascii="Times New Roman" w:hAnsi="Times New Roman" w:cs="Times New Roman"/>
          <w:sz w:val="24"/>
          <w:szCs w:val="24"/>
        </w:rPr>
        <w:t xml:space="preserve"> </w:t>
      </w:r>
      <w:r w:rsidRPr="00AF4D77">
        <w:rPr>
          <w:rFonts w:ascii="Times New Roman" w:hAnsi="Times New Roman" w:cs="Times New Roman"/>
          <w:b/>
          <w:sz w:val="24"/>
          <w:szCs w:val="24"/>
        </w:rPr>
        <w:t>par chèque bancaire ou postal</w:t>
      </w:r>
      <w:r w:rsidRPr="00AF4D77">
        <w:rPr>
          <w:rFonts w:ascii="Times New Roman" w:hAnsi="Times New Roman" w:cs="Times New Roman"/>
          <w:sz w:val="24"/>
          <w:szCs w:val="24"/>
        </w:rPr>
        <w:t xml:space="preserve"> libellé à l'ordre du Trésor Public et accompagné du talon détachable de l’avis de somme à payer (sans le coller, ni l'agrafer) et adressé à la trésorerie.</w:t>
      </w:r>
    </w:p>
    <w:p w14:paraId="59BEB20F" w14:textId="77777777" w:rsidR="00BD2F75" w:rsidRPr="00AF4D77"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2:</w:t>
      </w:r>
      <w:proofErr w:type="gramEnd"/>
      <w:r w:rsidRPr="00AF4D77">
        <w:rPr>
          <w:rFonts w:ascii="Times New Roman" w:hAnsi="Times New Roman" w:cs="Times New Roman"/>
          <w:sz w:val="24"/>
          <w:szCs w:val="24"/>
        </w:rPr>
        <w:t xml:space="preserve"> Les tarifs des services périscolaires sont votés par le Conseil Municipal et peuvent faire l'objet d'une revalorisation annuelle (délibération du 2 mai 2017 et délibération du 28 mai 2018).</w:t>
      </w:r>
    </w:p>
    <w:p w14:paraId="03C1C936" w14:textId="77777777" w:rsidR="00BD2F75" w:rsidRPr="00AF4D77"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3:</w:t>
      </w:r>
      <w:proofErr w:type="gramEnd"/>
      <w:r w:rsidRPr="00AF4D77">
        <w:rPr>
          <w:rFonts w:ascii="Times New Roman" w:hAnsi="Times New Roman" w:cs="Times New Roman"/>
          <w:sz w:val="24"/>
          <w:szCs w:val="24"/>
        </w:rPr>
        <w:t xml:space="preserve"> Le bénéficiaire optant pour le pré</w:t>
      </w:r>
      <w:r>
        <w:rPr>
          <w:rFonts w:ascii="Times New Roman" w:hAnsi="Times New Roman" w:cs="Times New Roman"/>
          <w:sz w:val="24"/>
          <w:szCs w:val="24"/>
        </w:rPr>
        <w:t xml:space="preserve">lèvement automatique recevra </w:t>
      </w:r>
      <w:r w:rsidRPr="00AF4D77">
        <w:rPr>
          <w:rFonts w:ascii="Times New Roman" w:hAnsi="Times New Roman" w:cs="Times New Roman"/>
          <w:sz w:val="24"/>
          <w:szCs w:val="24"/>
        </w:rPr>
        <w:t xml:space="preserve">chaque mois un avis </w:t>
      </w:r>
      <w:r>
        <w:rPr>
          <w:rFonts w:ascii="Times New Roman" w:hAnsi="Times New Roman" w:cs="Times New Roman"/>
          <w:sz w:val="24"/>
          <w:szCs w:val="24"/>
        </w:rPr>
        <w:t>de sommes à payer</w:t>
      </w:r>
      <w:r w:rsidRPr="00AF4D77">
        <w:rPr>
          <w:rFonts w:ascii="Times New Roman" w:hAnsi="Times New Roman" w:cs="Times New Roman"/>
          <w:sz w:val="24"/>
          <w:szCs w:val="24"/>
        </w:rPr>
        <w:t xml:space="preserve"> indiquant le montant et la date du prélèvement à effectuer sur son compte</w:t>
      </w:r>
      <w:r>
        <w:rPr>
          <w:rFonts w:ascii="Times New Roman" w:hAnsi="Times New Roman" w:cs="Times New Roman"/>
          <w:sz w:val="24"/>
          <w:szCs w:val="24"/>
        </w:rPr>
        <w:t>, ou la date limite de paiement</w:t>
      </w:r>
      <w:r w:rsidRPr="00AF4D77">
        <w:rPr>
          <w:rFonts w:ascii="Times New Roman" w:hAnsi="Times New Roman" w:cs="Times New Roman"/>
          <w:sz w:val="24"/>
          <w:szCs w:val="24"/>
        </w:rPr>
        <w:t>. Le montant du prélèvement est fonction du nombre de repas effectivement pris le mois précédent et/ou du nombre de jours de fréquentation à la garderie.</w:t>
      </w:r>
    </w:p>
    <w:p w14:paraId="3C50D557" w14:textId="77777777" w:rsidR="00BD2F75" w:rsidRPr="00AF4D77"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4:</w:t>
      </w:r>
      <w:proofErr w:type="gramEnd"/>
      <w:r w:rsidRPr="00AF4D77">
        <w:rPr>
          <w:rFonts w:ascii="Times New Roman" w:hAnsi="Times New Roman" w:cs="Times New Roman"/>
          <w:sz w:val="24"/>
          <w:szCs w:val="24"/>
        </w:rPr>
        <w:t xml:space="preserve"> Le bénéficiaire qui change de numéro de compte bancaire , d'agence, de banque ou de banque postale doit se procurer un nouvel imprimé de demande et d'autorisation de prélèvement auprès de la commune, le remplir et le retourner accompagné d'u</w:t>
      </w:r>
      <w:r>
        <w:rPr>
          <w:rFonts w:ascii="Times New Roman" w:hAnsi="Times New Roman" w:cs="Times New Roman"/>
          <w:sz w:val="24"/>
          <w:szCs w:val="24"/>
        </w:rPr>
        <w:t>n</w:t>
      </w:r>
      <w:r w:rsidRPr="00AF4D77">
        <w:rPr>
          <w:rFonts w:ascii="Times New Roman" w:hAnsi="Times New Roman" w:cs="Times New Roman"/>
          <w:sz w:val="24"/>
          <w:szCs w:val="24"/>
        </w:rPr>
        <w:t xml:space="preserve"> nouveau relevé d'identité bancaire ou postal au minimum 30 jours avant la date de prélèvement. Le bénéficiaire qui change d'adresse doit également avertir sans délai la Mairie de Bellengreville.</w:t>
      </w:r>
    </w:p>
    <w:p w14:paraId="04153157" w14:textId="77777777" w:rsidR="00BD2F75" w:rsidRPr="00AF4D77"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5:</w:t>
      </w:r>
      <w:proofErr w:type="gramEnd"/>
      <w:r w:rsidRPr="00AF4D77">
        <w:rPr>
          <w:rFonts w:ascii="Times New Roman" w:hAnsi="Times New Roman" w:cs="Times New Roman"/>
          <w:sz w:val="24"/>
          <w:szCs w:val="24"/>
        </w:rPr>
        <w:t xml:space="preserve"> Si un prélèvement ne peut être effectué sur le compte du bénéficiaire, il ne sera pas représenté. Un appel à régularisation lui sera adressé pour le règlement du montant de la facture initiale augmenté des frais de rejet. La régularisation interviendra uniquement par chèque bancaire ou par règlement en espèces directement auprès de la trésorerie de </w:t>
      </w:r>
      <w:r>
        <w:rPr>
          <w:rFonts w:ascii="Times New Roman" w:hAnsi="Times New Roman" w:cs="Times New Roman"/>
          <w:sz w:val="24"/>
          <w:szCs w:val="24"/>
        </w:rPr>
        <w:t>Mondeville</w:t>
      </w:r>
      <w:r w:rsidRPr="00AF4D77">
        <w:rPr>
          <w:rFonts w:ascii="Times New Roman" w:hAnsi="Times New Roman" w:cs="Times New Roman"/>
          <w:sz w:val="24"/>
          <w:szCs w:val="24"/>
        </w:rPr>
        <w:t>.</w:t>
      </w:r>
    </w:p>
    <w:p w14:paraId="3C129C11" w14:textId="77777777" w:rsidR="00BD2F75" w:rsidRPr="00AF4D77"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6:</w:t>
      </w:r>
      <w:proofErr w:type="gramEnd"/>
      <w:r w:rsidRPr="00AF4D77">
        <w:rPr>
          <w:rFonts w:ascii="Times New Roman" w:hAnsi="Times New Roman" w:cs="Times New Roman"/>
          <w:sz w:val="24"/>
          <w:szCs w:val="24"/>
        </w:rPr>
        <w:t xml:space="preserve"> Il sera mis fin automatiquement au contrat de prélèvement après deux rejets consécutifs de prélèvement pour le même bénéficiaire. Il lui appartiendra alors de renouveler son contrat l'année suivante s'il le désire. Le redevable qui souhaite mettre fin au contrat informe la Mairie de Bellengreville par lettre simple et aura soin d'en informer également sa banque.</w:t>
      </w:r>
    </w:p>
    <w:p w14:paraId="30F9FA44" w14:textId="6EA550D2" w:rsidR="00BD2F75" w:rsidRDefault="00BD2F75" w:rsidP="00BD2F75">
      <w:pPr>
        <w:jc w:val="both"/>
        <w:rPr>
          <w:rFonts w:ascii="Times New Roman" w:hAnsi="Times New Roman" w:cs="Times New Roman"/>
          <w:sz w:val="24"/>
          <w:szCs w:val="24"/>
        </w:rPr>
      </w:pPr>
      <w:r w:rsidRPr="00AF4D77">
        <w:rPr>
          <w:rFonts w:ascii="Times New Roman" w:hAnsi="Times New Roman" w:cs="Times New Roman"/>
          <w:b/>
          <w:sz w:val="24"/>
          <w:szCs w:val="24"/>
        </w:rPr>
        <w:t xml:space="preserve">Article </w:t>
      </w:r>
      <w:proofErr w:type="gramStart"/>
      <w:r w:rsidRPr="00AF4D77">
        <w:rPr>
          <w:rFonts w:ascii="Times New Roman" w:hAnsi="Times New Roman" w:cs="Times New Roman"/>
          <w:b/>
          <w:sz w:val="24"/>
          <w:szCs w:val="24"/>
        </w:rPr>
        <w:t>7:</w:t>
      </w:r>
      <w:proofErr w:type="gramEnd"/>
      <w:r w:rsidRPr="00AF4D77">
        <w:rPr>
          <w:rFonts w:ascii="Times New Roman" w:hAnsi="Times New Roman" w:cs="Times New Roman"/>
          <w:sz w:val="24"/>
          <w:szCs w:val="24"/>
        </w:rPr>
        <w:t xml:space="preserve"> Tous renseignements ou contestations doivent être adressés par courrier à la Mairie de Bellengreville, 10 rue Léonard Gille 14370 Bellengreville ou par mail à l'adresse </w:t>
      </w:r>
      <w:r>
        <w:rPr>
          <w:rFonts w:ascii="Times New Roman" w:hAnsi="Times New Roman" w:cs="Times New Roman"/>
          <w:color w:val="0070C0"/>
          <w:sz w:val="24"/>
          <w:szCs w:val="24"/>
          <w:u w:val="single"/>
        </w:rPr>
        <w:t>lydie.garnier</w:t>
      </w:r>
      <w:r w:rsidRPr="00AF4D77">
        <w:rPr>
          <w:rFonts w:ascii="Times New Roman" w:hAnsi="Times New Roman" w:cs="Times New Roman"/>
          <w:color w:val="0070C0"/>
          <w:sz w:val="24"/>
          <w:szCs w:val="24"/>
          <w:u w:val="single"/>
        </w:rPr>
        <w:t>@mairie-bellengreville.fr</w:t>
      </w:r>
      <w:r w:rsidRPr="00AF4D77">
        <w:rPr>
          <w:rFonts w:ascii="Times New Roman" w:hAnsi="Times New Roman" w:cs="Times New Roman"/>
          <w:sz w:val="24"/>
          <w:szCs w:val="24"/>
        </w:rPr>
        <w:t>. Les débiteurs s'engagent à procéder à l'acquittement de la facture sans modification aucune de son montant, même si celui-ci fait l'objet d'une contestation. La régularisation interviendra alors le mois suivant après discussion avec les services de la Mairie de Bellengreville.</w:t>
      </w:r>
    </w:p>
    <w:p w14:paraId="571A6CD7" w14:textId="77777777" w:rsidR="00BD2F75" w:rsidRDefault="00BD2F75" w:rsidP="00BD2F75">
      <w:pPr>
        <w:jc w:val="both"/>
        <w:rPr>
          <w:rFonts w:ascii="Times New Roman" w:hAnsi="Times New Roman" w:cs="Times New Roman"/>
          <w:sz w:val="24"/>
          <w:szCs w:val="24"/>
        </w:rPr>
      </w:pPr>
    </w:p>
    <w:p w14:paraId="749C7014" w14:textId="77777777" w:rsidR="00BD2F75" w:rsidRPr="00F22DD7" w:rsidRDefault="00BD2F75" w:rsidP="00BD2F75">
      <w:pPr>
        <w:rPr>
          <w:rFonts w:ascii="Times New Roman" w:hAnsi="Times New Roman" w:cs="Times New Roman"/>
          <w:sz w:val="20"/>
          <w:szCs w:val="20"/>
        </w:rPr>
      </w:pPr>
      <w:r w:rsidRPr="00F22DD7">
        <w:rPr>
          <w:rFonts w:ascii="Times New Roman" w:hAnsi="Times New Roman" w:cs="Times New Roman"/>
          <w:sz w:val="20"/>
          <w:szCs w:val="20"/>
        </w:rPr>
        <w:t>A Bellengreville, le</w:t>
      </w:r>
      <w:proofErr w:type="gramStart"/>
      <w:r w:rsidRPr="00F22DD7">
        <w:rPr>
          <w:rFonts w:ascii="Times New Roman" w:hAnsi="Times New Roman" w:cs="Times New Roman"/>
          <w:sz w:val="20"/>
          <w:szCs w:val="20"/>
        </w:rPr>
        <w:t xml:space="preserve"> ….</w:t>
      </w:r>
      <w:proofErr w:type="gramEnd"/>
      <w:r w:rsidRPr="00F22DD7">
        <w:rPr>
          <w:rFonts w:ascii="Times New Roman" w:hAnsi="Times New Roman" w:cs="Times New Roman"/>
          <w:sz w:val="20"/>
          <w:szCs w:val="20"/>
        </w:rPr>
        <w:t>./…../……….</w:t>
      </w:r>
    </w:p>
    <w:p w14:paraId="3084B876" w14:textId="77777777" w:rsidR="00BD2F75" w:rsidRPr="00F22DD7" w:rsidRDefault="00BD2F75" w:rsidP="00BD2F75">
      <w:pPr>
        <w:rPr>
          <w:rFonts w:ascii="Times New Roman" w:hAnsi="Times New Roman" w:cs="Times New Roman"/>
          <w:sz w:val="20"/>
          <w:szCs w:val="20"/>
        </w:rPr>
      </w:pPr>
      <w:proofErr w:type="gramStart"/>
      <w:r w:rsidRPr="00F22DD7">
        <w:rPr>
          <w:rFonts w:ascii="Times New Roman" w:hAnsi="Times New Roman" w:cs="Times New Roman"/>
          <w:sz w:val="20"/>
          <w:szCs w:val="20"/>
        </w:rPr>
        <w:t>Signature:</w:t>
      </w:r>
      <w:proofErr w:type="gramEnd"/>
    </w:p>
    <w:p w14:paraId="0363A04A" w14:textId="77777777" w:rsidR="005E5610" w:rsidRDefault="005E5610"/>
    <w:sectPr w:rsidR="005E5610" w:rsidSect="00BD2F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75"/>
    <w:rsid w:val="001B3273"/>
    <w:rsid w:val="005E5610"/>
    <w:rsid w:val="00BD2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4B32"/>
  <w15:chartTrackingRefBased/>
  <w15:docId w15:val="{CB9F2358-E8DC-4890-9843-741429C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2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pi.budget.gouv.fr" TargetMode="External"/><Relationship Id="rId5" Type="http://schemas.openxmlformats.org/officeDocument/2006/relationships/hyperlink" Target="https://parents.logiciel-enfance.fr/bellengrevill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2</cp:revision>
  <dcterms:created xsi:type="dcterms:W3CDTF">2021-08-20T14:43:00Z</dcterms:created>
  <dcterms:modified xsi:type="dcterms:W3CDTF">2022-04-15T12:26:00Z</dcterms:modified>
</cp:coreProperties>
</file>